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39" w:rsidRDefault="00411339" w:rsidP="00411339">
      <w:pPr>
        <w:spacing w:line="560" w:lineRule="exact"/>
        <w:jc w:val="center"/>
        <w:rPr>
          <w:rFonts w:ascii="方正小标宋简体" w:eastAsia="方正小标宋简体" w:hAnsi="宋体" w:hint="eastAsia"/>
          <w:b/>
          <w:sz w:val="44"/>
          <w:szCs w:val="44"/>
        </w:rPr>
      </w:pPr>
      <w:r>
        <w:rPr>
          <w:rFonts w:ascii="方正小标宋简体" w:eastAsia="方正小标宋简体" w:hAnsi="宋体" w:hint="eastAsia"/>
          <w:b/>
          <w:sz w:val="44"/>
          <w:szCs w:val="44"/>
        </w:rPr>
        <w:t>商学院大类招生</w:t>
      </w:r>
      <w:bookmarkStart w:id="0" w:name="OLE_LINK1"/>
      <w:bookmarkStart w:id="1" w:name="OLE_LINK2"/>
      <w:r>
        <w:rPr>
          <w:rFonts w:ascii="方正小标宋简体" w:eastAsia="方正小标宋简体" w:hAnsi="宋体" w:hint="eastAsia"/>
          <w:b/>
          <w:sz w:val="44"/>
          <w:szCs w:val="44"/>
        </w:rPr>
        <w:t>学生专业分流</w:t>
      </w:r>
      <w:bookmarkEnd w:id="0"/>
      <w:bookmarkEnd w:id="1"/>
      <w:r>
        <w:rPr>
          <w:rFonts w:ascii="方正小标宋简体" w:eastAsia="方正小标宋简体" w:hAnsi="宋体" w:hint="eastAsia"/>
          <w:b/>
          <w:sz w:val="44"/>
          <w:szCs w:val="44"/>
        </w:rPr>
        <w:t>方案（试行）</w:t>
      </w:r>
    </w:p>
    <w:p w:rsidR="00411339" w:rsidRDefault="00411339" w:rsidP="00411339">
      <w:pPr>
        <w:spacing w:line="560" w:lineRule="exact"/>
        <w:rPr>
          <w:rFonts w:ascii="方正小标宋简体" w:eastAsia="方正小标宋简体" w:hAnsi="宋体" w:hint="eastAsia"/>
          <w:b/>
          <w:sz w:val="44"/>
          <w:szCs w:val="44"/>
        </w:rPr>
      </w:pP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为进一步规范管理和做好 2018 级学生专业分流，根据校教[2017]30 号文件《郑州航空工业管理学院大类招生试点与专业分流暂行办法》以及校教[2019]3号文件《关于2018级大类招生专业分流工作的通知》，结合商学院专业实际情况，特制定《商学院大类招生学生专业分流方案》。</w:t>
      </w:r>
    </w:p>
    <w:p w:rsidR="00411339" w:rsidRDefault="00411339" w:rsidP="00411339">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一、商学院大类招生学生专业分流领导小组</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商学院大类招生专业分流领导小组成员如下：</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组  长：李晓东  尹朝晖</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副组长：吴琳芳  赵春清  赵  怡</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秘  书：侯冠军</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组  员：李丰团  王进朝  谢海洋  马玉俊</w:t>
      </w:r>
    </w:p>
    <w:p w:rsidR="00411339" w:rsidRDefault="00411339" w:rsidP="00411339">
      <w:pPr>
        <w:spacing w:line="560" w:lineRule="exact"/>
        <w:ind w:firstLineChars="600" w:firstLine="1920"/>
        <w:rPr>
          <w:rFonts w:ascii="仿宋_GB2312" w:eastAsia="仿宋_GB2312" w:hAnsi="宋体" w:hint="eastAsia"/>
          <w:sz w:val="32"/>
          <w:szCs w:val="32"/>
        </w:rPr>
      </w:pPr>
      <w:r>
        <w:rPr>
          <w:rFonts w:ascii="仿宋_GB2312" w:eastAsia="仿宋_GB2312" w:hAnsi="宋体" w:hint="eastAsia"/>
          <w:sz w:val="32"/>
          <w:szCs w:val="32"/>
        </w:rPr>
        <w:t>史振厚  陈奕奕</w:t>
      </w:r>
    </w:p>
    <w:p w:rsidR="00411339" w:rsidRDefault="00411339" w:rsidP="00411339">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二、专业分流适用的专业范围</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本专业分流方案适用2018级工商管理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w:t>
      </w:r>
      <w:r>
        <w:rPr>
          <w:rFonts w:ascii="仿宋_GB2312" w:eastAsia="仿宋_GB2312" w:hAnsi="宋体" w:hint="eastAsia"/>
          <w:sz w:val="32"/>
          <w:szCs w:val="32"/>
        </w:rPr>
        <w:fldChar w:fldCharType="end"/>
      </w:r>
      <w:r>
        <w:rPr>
          <w:rFonts w:ascii="仿宋_GB2312" w:eastAsia="仿宋_GB2312" w:hAnsi="宋体" w:hint="eastAsia"/>
          <w:sz w:val="32"/>
          <w:szCs w:val="32"/>
        </w:rPr>
        <w:t>类和工商管理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II</w:t>
      </w:r>
      <w:r>
        <w:rPr>
          <w:rFonts w:ascii="仿宋_GB2312" w:eastAsia="仿宋_GB2312" w:hAnsi="宋体" w:hint="eastAsia"/>
          <w:sz w:val="32"/>
          <w:szCs w:val="32"/>
        </w:rPr>
        <w:fldChar w:fldCharType="end"/>
      </w:r>
      <w:r>
        <w:rPr>
          <w:rFonts w:ascii="仿宋_GB2312" w:eastAsia="仿宋_GB2312" w:hAnsi="宋体" w:hint="eastAsia"/>
          <w:sz w:val="32"/>
          <w:szCs w:val="32"/>
        </w:rPr>
        <w:t>类的学生。学生可依据自己的兴趣、特长、学习情况和专业接受能力，填报分流专业志愿实行专业分流。其中，工商管理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w:t>
      </w:r>
      <w:r>
        <w:rPr>
          <w:rFonts w:ascii="仿宋_GB2312" w:eastAsia="仿宋_GB2312" w:hAnsi="宋体" w:hint="eastAsia"/>
          <w:sz w:val="32"/>
          <w:szCs w:val="32"/>
        </w:rPr>
        <w:fldChar w:fldCharType="end"/>
      </w:r>
      <w:r>
        <w:rPr>
          <w:rFonts w:ascii="仿宋_GB2312" w:eastAsia="仿宋_GB2312" w:hAnsi="宋体" w:hint="eastAsia"/>
          <w:sz w:val="32"/>
          <w:szCs w:val="32"/>
        </w:rPr>
        <w:t>类分流的专业包括4个专业（含方向）：会计学、财务管理、审计学、会计学（注册会计师方向）；工商管理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II</w:t>
      </w:r>
      <w:r>
        <w:rPr>
          <w:rFonts w:ascii="仿宋_GB2312" w:eastAsia="仿宋_GB2312" w:hAnsi="宋体" w:hint="eastAsia"/>
          <w:sz w:val="32"/>
          <w:szCs w:val="32"/>
        </w:rPr>
        <w:fldChar w:fldCharType="end"/>
      </w:r>
      <w:r>
        <w:rPr>
          <w:rFonts w:ascii="仿宋_GB2312" w:eastAsia="仿宋_GB2312" w:hAnsi="宋体" w:hint="eastAsia"/>
          <w:sz w:val="32"/>
          <w:szCs w:val="32"/>
        </w:rPr>
        <w:t>类分流的专业包括3个专业：工商管理、市场营销、人力资源管理。工商管理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w:t>
      </w:r>
      <w:r>
        <w:rPr>
          <w:rFonts w:ascii="仿宋_GB2312" w:eastAsia="仿宋_GB2312" w:hAnsi="宋体" w:hint="eastAsia"/>
          <w:sz w:val="32"/>
          <w:szCs w:val="32"/>
        </w:rPr>
        <w:fldChar w:fldCharType="end"/>
      </w:r>
      <w:r>
        <w:rPr>
          <w:rFonts w:ascii="仿宋_GB2312" w:eastAsia="仿宋_GB2312" w:hAnsi="宋体" w:hint="eastAsia"/>
          <w:sz w:val="32"/>
          <w:szCs w:val="32"/>
        </w:rPr>
        <w:t>类和</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II</w:t>
      </w:r>
      <w:r>
        <w:rPr>
          <w:rFonts w:ascii="仿宋_GB2312" w:eastAsia="仿宋_GB2312" w:hAnsi="宋体" w:hint="eastAsia"/>
          <w:sz w:val="32"/>
          <w:szCs w:val="32"/>
        </w:rPr>
        <w:fldChar w:fldCharType="end"/>
      </w:r>
      <w:r>
        <w:rPr>
          <w:rFonts w:ascii="仿宋_GB2312" w:eastAsia="仿宋_GB2312" w:hAnsi="宋体" w:hint="eastAsia"/>
          <w:sz w:val="32"/>
          <w:szCs w:val="32"/>
        </w:rPr>
        <w:t>类两个类别的专业分流各自独立，不相互交叉。</w:t>
      </w:r>
    </w:p>
    <w:p w:rsidR="00411339" w:rsidRDefault="00411339" w:rsidP="00411339">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三、专业分流的原则</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（1）坚持公开、公平、公正的原则，保证专业分流的透明度。</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（2）在大类范围内的各专业和方向间进行分流。</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（3）尊重学生志愿，在一定条件下允许学生根据个人兴趣特长选择大类范围内的专业及方向。</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（4）依据师资力量和专业发展规划进行各专业之间的指标分配，同时考虑转专业的情况。</w:t>
      </w:r>
    </w:p>
    <w:p w:rsidR="00411339" w:rsidRDefault="00411339" w:rsidP="00411339">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四、专业分流的时间</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2018级工商管理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w:t>
      </w:r>
      <w:r>
        <w:rPr>
          <w:rFonts w:ascii="仿宋_GB2312" w:eastAsia="仿宋_GB2312" w:hAnsi="宋体" w:hint="eastAsia"/>
          <w:sz w:val="32"/>
          <w:szCs w:val="32"/>
        </w:rPr>
        <w:fldChar w:fldCharType="end"/>
      </w:r>
      <w:r>
        <w:rPr>
          <w:rFonts w:ascii="仿宋_GB2312" w:eastAsia="仿宋_GB2312" w:hAnsi="宋体" w:hint="eastAsia"/>
          <w:sz w:val="32"/>
          <w:szCs w:val="32"/>
        </w:rPr>
        <w:t>类和工商管理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II</w:t>
      </w:r>
      <w:r>
        <w:rPr>
          <w:rFonts w:ascii="仿宋_GB2312" w:eastAsia="仿宋_GB2312" w:hAnsi="宋体" w:hint="eastAsia"/>
          <w:sz w:val="32"/>
          <w:szCs w:val="32"/>
        </w:rPr>
        <w:fldChar w:fldCharType="end"/>
      </w:r>
      <w:r>
        <w:rPr>
          <w:rFonts w:ascii="仿宋_GB2312" w:eastAsia="仿宋_GB2312" w:hAnsi="宋体" w:hint="eastAsia"/>
          <w:sz w:val="32"/>
          <w:szCs w:val="32"/>
        </w:rPr>
        <w:t>类学生在2019年4月8日前完成专业分流。</w:t>
      </w:r>
    </w:p>
    <w:p w:rsidR="00411339" w:rsidRDefault="00411339" w:rsidP="00411339">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五、专业分流计划指标分配</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根据 2018年招生实际情况，工商管理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w:t>
      </w:r>
      <w:r>
        <w:rPr>
          <w:rFonts w:ascii="仿宋_GB2312" w:eastAsia="仿宋_GB2312" w:hAnsi="宋体" w:hint="eastAsia"/>
          <w:sz w:val="32"/>
          <w:szCs w:val="32"/>
        </w:rPr>
        <w:fldChar w:fldCharType="end"/>
      </w:r>
      <w:r>
        <w:rPr>
          <w:rFonts w:ascii="仿宋_GB2312" w:eastAsia="仿宋_GB2312" w:hAnsi="宋体" w:hint="eastAsia"/>
          <w:sz w:val="32"/>
          <w:szCs w:val="32"/>
        </w:rPr>
        <w:t>类322名，工商管理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II</w:t>
      </w:r>
      <w:r>
        <w:rPr>
          <w:rFonts w:ascii="仿宋_GB2312" w:eastAsia="仿宋_GB2312" w:hAnsi="宋体" w:hint="eastAsia"/>
          <w:sz w:val="32"/>
          <w:szCs w:val="32"/>
        </w:rPr>
        <w:fldChar w:fldCharType="end"/>
      </w:r>
      <w:r>
        <w:rPr>
          <w:rFonts w:ascii="仿宋_GB2312" w:eastAsia="仿宋_GB2312" w:hAnsi="宋体" w:hint="eastAsia"/>
          <w:sz w:val="32"/>
          <w:szCs w:val="32"/>
        </w:rPr>
        <w:t>类278名学生，分流到7个专业（含方向）中。具体计划指标分配如下表：</w:t>
      </w:r>
    </w:p>
    <w:p w:rsidR="00411339" w:rsidRDefault="00411339" w:rsidP="00411339">
      <w:pPr>
        <w:spacing w:line="560" w:lineRule="exact"/>
        <w:ind w:firstLineChars="200" w:firstLine="562"/>
        <w:jc w:val="center"/>
        <w:rPr>
          <w:rFonts w:ascii="仿宋_GB2312" w:eastAsia="仿宋_GB2312" w:hAnsi="宋体" w:hint="eastAsia"/>
          <w:b/>
          <w:sz w:val="28"/>
          <w:szCs w:val="32"/>
        </w:rPr>
      </w:pPr>
      <w:r>
        <w:rPr>
          <w:rFonts w:ascii="仿宋_GB2312" w:eastAsia="仿宋_GB2312" w:hAnsi="宋体" w:hint="eastAsia"/>
          <w:b/>
          <w:sz w:val="28"/>
          <w:szCs w:val="32"/>
        </w:rPr>
        <w:t>专业分流各专业指标分配表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1303"/>
        <w:gridCol w:w="3091"/>
        <w:gridCol w:w="1439"/>
      </w:tblGrid>
      <w:tr w:rsidR="00411339" w:rsidTr="00F51743">
        <w:trPr>
          <w:cantSplit/>
          <w:trHeight w:val="492"/>
        </w:trPr>
        <w:tc>
          <w:tcPr>
            <w:tcW w:w="4530" w:type="dxa"/>
            <w:gridSpan w:val="2"/>
            <w:vAlign w:val="center"/>
          </w:tcPr>
          <w:p w:rsidR="00411339" w:rsidRDefault="00411339" w:rsidP="00F51743">
            <w:pPr>
              <w:snapToGrid w:val="0"/>
              <w:ind w:firstLineChars="200" w:firstLine="480"/>
              <w:jc w:val="center"/>
              <w:rPr>
                <w:rFonts w:ascii="黑体" w:eastAsia="黑体" w:hAnsi="黑体" w:hint="eastAsia"/>
                <w:sz w:val="24"/>
                <w:szCs w:val="21"/>
              </w:rPr>
            </w:pPr>
            <w:r>
              <w:rPr>
                <w:rFonts w:ascii="黑体" w:eastAsia="黑体" w:hAnsi="黑体" w:hint="eastAsia"/>
                <w:sz w:val="24"/>
                <w:szCs w:val="21"/>
              </w:rPr>
              <w:t>工商管理</w:t>
            </w:r>
            <w:r>
              <w:rPr>
                <w:rFonts w:ascii="黑体" w:eastAsia="黑体" w:hAnsi="黑体" w:hint="eastAsia"/>
                <w:sz w:val="24"/>
                <w:szCs w:val="21"/>
              </w:rPr>
              <w:fldChar w:fldCharType="begin"/>
            </w:r>
            <w:r>
              <w:rPr>
                <w:rFonts w:ascii="黑体" w:eastAsia="黑体" w:hAnsi="黑体" w:hint="eastAsia"/>
                <w:sz w:val="24"/>
                <w:szCs w:val="21"/>
              </w:rPr>
              <w:instrText xml:space="preserve"> = 1 \* ROMAN </w:instrText>
            </w:r>
            <w:r>
              <w:rPr>
                <w:rFonts w:ascii="黑体" w:eastAsia="黑体" w:hAnsi="黑体" w:hint="eastAsia"/>
                <w:sz w:val="24"/>
                <w:szCs w:val="21"/>
              </w:rPr>
              <w:fldChar w:fldCharType="separate"/>
            </w:r>
            <w:r>
              <w:rPr>
                <w:rFonts w:ascii="黑体" w:eastAsia="黑体" w:hAnsi="黑体" w:hint="eastAsia"/>
                <w:sz w:val="24"/>
                <w:szCs w:val="21"/>
              </w:rPr>
              <w:t>I</w:t>
            </w:r>
            <w:r>
              <w:rPr>
                <w:rFonts w:ascii="黑体" w:eastAsia="黑体" w:hAnsi="黑体" w:hint="eastAsia"/>
                <w:sz w:val="24"/>
                <w:szCs w:val="21"/>
              </w:rPr>
              <w:fldChar w:fldCharType="end"/>
            </w:r>
            <w:r>
              <w:rPr>
                <w:rFonts w:ascii="黑体" w:eastAsia="黑体" w:hAnsi="黑体" w:hint="eastAsia"/>
                <w:sz w:val="24"/>
                <w:szCs w:val="21"/>
              </w:rPr>
              <w:t>类</w:t>
            </w:r>
          </w:p>
        </w:tc>
        <w:tc>
          <w:tcPr>
            <w:tcW w:w="4530" w:type="dxa"/>
            <w:gridSpan w:val="2"/>
            <w:vAlign w:val="center"/>
          </w:tcPr>
          <w:p w:rsidR="00411339" w:rsidRDefault="00411339" w:rsidP="00F51743">
            <w:pPr>
              <w:snapToGrid w:val="0"/>
              <w:ind w:firstLineChars="2" w:firstLine="5"/>
              <w:jc w:val="center"/>
              <w:rPr>
                <w:rFonts w:ascii="黑体" w:eastAsia="黑体" w:hAnsi="黑体" w:hint="eastAsia"/>
                <w:sz w:val="24"/>
                <w:szCs w:val="21"/>
              </w:rPr>
            </w:pPr>
            <w:r>
              <w:rPr>
                <w:rFonts w:ascii="黑体" w:eastAsia="黑体" w:hAnsi="黑体" w:hint="eastAsia"/>
                <w:sz w:val="24"/>
                <w:szCs w:val="21"/>
              </w:rPr>
              <w:t>工商管理</w:t>
            </w:r>
            <w:r>
              <w:rPr>
                <w:rFonts w:ascii="黑体" w:eastAsia="黑体" w:hAnsi="黑体" w:hint="eastAsia"/>
                <w:sz w:val="24"/>
                <w:szCs w:val="21"/>
              </w:rPr>
              <w:fldChar w:fldCharType="begin"/>
            </w:r>
            <w:r>
              <w:rPr>
                <w:rFonts w:ascii="黑体" w:eastAsia="黑体" w:hAnsi="黑体" w:hint="eastAsia"/>
                <w:sz w:val="24"/>
                <w:szCs w:val="21"/>
              </w:rPr>
              <w:instrText xml:space="preserve"> = 2 \* ROMAN </w:instrText>
            </w:r>
            <w:r>
              <w:rPr>
                <w:rFonts w:ascii="黑体" w:eastAsia="黑体" w:hAnsi="黑体" w:hint="eastAsia"/>
                <w:sz w:val="24"/>
                <w:szCs w:val="21"/>
              </w:rPr>
              <w:fldChar w:fldCharType="separate"/>
            </w:r>
            <w:r>
              <w:rPr>
                <w:rFonts w:ascii="黑体" w:eastAsia="黑体" w:hAnsi="黑体" w:hint="eastAsia"/>
                <w:sz w:val="24"/>
                <w:szCs w:val="21"/>
              </w:rPr>
              <w:t>II</w:t>
            </w:r>
            <w:r>
              <w:rPr>
                <w:rFonts w:ascii="黑体" w:eastAsia="黑体" w:hAnsi="黑体" w:hint="eastAsia"/>
                <w:sz w:val="24"/>
                <w:szCs w:val="21"/>
              </w:rPr>
              <w:fldChar w:fldCharType="end"/>
            </w:r>
            <w:r>
              <w:rPr>
                <w:rFonts w:ascii="黑体" w:eastAsia="黑体" w:hAnsi="黑体" w:hint="eastAsia"/>
                <w:sz w:val="24"/>
                <w:szCs w:val="21"/>
              </w:rPr>
              <w:t>类</w:t>
            </w:r>
          </w:p>
        </w:tc>
      </w:tr>
      <w:tr w:rsidR="00411339" w:rsidTr="00F51743">
        <w:trPr>
          <w:cantSplit/>
          <w:trHeight w:val="492"/>
        </w:trPr>
        <w:tc>
          <w:tcPr>
            <w:tcW w:w="3227" w:type="dxa"/>
            <w:vAlign w:val="center"/>
          </w:tcPr>
          <w:p w:rsidR="00411339" w:rsidRDefault="00411339" w:rsidP="00F51743">
            <w:pPr>
              <w:snapToGrid w:val="0"/>
              <w:jc w:val="center"/>
              <w:rPr>
                <w:rFonts w:ascii="楷体" w:eastAsia="楷体" w:hAnsi="楷体" w:hint="eastAsia"/>
                <w:sz w:val="24"/>
                <w:szCs w:val="21"/>
              </w:rPr>
            </w:pPr>
            <w:r>
              <w:rPr>
                <w:rFonts w:ascii="楷体" w:eastAsia="楷体" w:hAnsi="楷体" w:hint="eastAsia"/>
                <w:sz w:val="24"/>
                <w:szCs w:val="21"/>
              </w:rPr>
              <w:t>分流专业</w:t>
            </w:r>
          </w:p>
        </w:tc>
        <w:tc>
          <w:tcPr>
            <w:tcW w:w="1303" w:type="dxa"/>
            <w:vAlign w:val="center"/>
          </w:tcPr>
          <w:p w:rsidR="00411339" w:rsidRDefault="00411339" w:rsidP="00F51743">
            <w:pPr>
              <w:snapToGrid w:val="0"/>
              <w:jc w:val="center"/>
              <w:rPr>
                <w:rFonts w:ascii="楷体" w:eastAsia="楷体" w:hAnsi="楷体" w:hint="eastAsia"/>
                <w:sz w:val="24"/>
                <w:szCs w:val="21"/>
              </w:rPr>
            </w:pPr>
            <w:r>
              <w:rPr>
                <w:rFonts w:ascii="楷体" w:eastAsia="楷体" w:hAnsi="楷体" w:hint="eastAsia"/>
                <w:sz w:val="24"/>
                <w:szCs w:val="21"/>
              </w:rPr>
              <w:t>分配名额</w:t>
            </w:r>
          </w:p>
        </w:tc>
        <w:tc>
          <w:tcPr>
            <w:tcW w:w="3091" w:type="dxa"/>
            <w:vAlign w:val="center"/>
          </w:tcPr>
          <w:p w:rsidR="00411339" w:rsidRDefault="00411339" w:rsidP="00F51743">
            <w:pPr>
              <w:snapToGrid w:val="0"/>
              <w:ind w:firstLineChars="2" w:firstLine="5"/>
              <w:jc w:val="center"/>
              <w:rPr>
                <w:rFonts w:ascii="楷体" w:eastAsia="楷体" w:hAnsi="楷体" w:hint="eastAsia"/>
                <w:sz w:val="24"/>
                <w:szCs w:val="21"/>
              </w:rPr>
            </w:pPr>
            <w:r>
              <w:rPr>
                <w:rFonts w:ascii="楷体" w:eastAsia="楷体" w:hAnsi="楷体" w:hint="eastAsia"/>
                <w:sz w:val="24"/>
                <w:szCs w:val="21"/>
              </w:rPr>
              <w:t>分流专业</w:t>
            </w:r>
          </w:p>
        </w:tc>
        <w:tc>
          <w:tcPr>
            <w:tcW w:w="1439" w:type="dxa"/>
            <w:vAlign w:val="center"/>
          </w:tcPr>
          <w:p w:rsidR="00411339" w:rsidRDefault="00411339" w:rsidP="00F51743">
            <w:pPr>
              <w:snapToGrid w:val="0"/>
              <w:jc w:val="center"/>
              <w:rPr>
                <w:rFonts w:ascii="楷体" w:eastAsia="楷体" w:hAnsi="楷体" w:hint="eastAsia"/>
                <w:sz w:val="24"/>
                <w:szCs w:val="21"/>
              </w:rPr>
            </w:pPr>
            <w:r>
              <w:rPr>
                <w:rFonts w:ascii="楷体" w:eastAsia="楷体" w:hAnsi="楷体" w:hint="eastAsia"/>
                <w:sz w:val="24"/>
                <w:szCs w:val="21"/>
              </w:rPr>
              <w:t>分配名额</w:t>
            </w:r>
          </w:p>
        </w:tc>
      </w:tr>
      <w:tr w:rsidR="00411339" w:rsidTr="00F51743">
        <w:trPr>
          <w:cantSplit/>
          <w:trHeight w:val="492"/>
        </w:trPr>
        <w:tc>
          <w:tcPr>
            <w:tcW w:w="3227"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会计学</w:t>
            </w:r>
          </w:p>
        </w:tc>
        <w:tc>
          <w:tcPr>
            <w:tcW w:w="1303" w:type="dxa"/>
            <w:vAlign w:val="center"/>
          </w:tcPr>
          <w:p w:rsidR="00411339" w:rsidRDefault="00411339" w:rsidP="00F51743">
            <w:pPr>
              <w:snapToGrid w:val="0"/>
              <w:ind w:firstLineChars="15" w:firstLine="36"/>
              <w:jc w:val="center"/>
              <w:rPr>
                <w:rFonts w:ascii="仿宋" w:eastAsia="仿宋" w:hAnsi="仿宋" w:hint="eastAsia"/>
                <w:sz w:val="24"/>
                <w:szCs w:val="21"/>
              </w:rPr>
            </w:pPr>
            <w:r>
              <w:rPr>
                <w:rFonts w:ascii="仿宋" w:eastAsia="仿宋" w:hAnsi="仿宋" w:hint="eastAsia"/>
                <w:sz w:val="24"/>
                <w:szCs w:val="21"/>
              </w:rPr>
              <w:t>82</w:t>
            </w:r>
          </w:p>
        </w:tc>
        <w:tc>
          <w:tcPr>
            <w:tcW w:w="3091" w:type="dxa"/>
            <w:vAlign w:val="center"/>
          </w:tcPr>
          <w:p w:rsidR="00411339" w:rsidRDefault="00411339" w:rsidP="00F51743">
            <w:pPr>
              <w:snapToGrid w:val="0"/>
              <w:ind w:firstLineChars="2" w:firstLine="5"/>
              <w:jc w:val="center"/>
              <w:rPr>
                <w:rFonts w:ascii="仿宋" w:eastAsia="仿宋" w:hAnsi="仿宋" w:hint="eastAsia"/>
                <w:sz w:val="24"/>
                <w:szCs w:val="21"/>
              </w:rPr>
            </w:pPr>
            <w:r>
              <w:rPr>
                <w:rFonts w:ascii="仿宋" w:eastAsia="仿宋" w:hAnsi="仿宋" w:hint="eastAsia"/>
                <w:sz w:val="24"/>
                <w:szCs w:val="21"/>
              </w:rPr>
              <w:t>工商管理</w:t>
            </w:r>
          </w:p>
        </w:tc>
        <w:tc>
          <w:tcPr>
            <w:tcW w:w="1439"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93</w:t>
            </w:r>
          </w:p>
        </w:tc>
      </w:tr>
      <w:tr w:rsidR="00411339" w:rsidTr="00F51743">
        <w:trPr>
          <w:cantSplit/>
          <w:trHeight w:val="492"/>
        </w:trPr>
        <w:tc>
          <w:tcPr>
            <w:tcW w:w="3227"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审计学</w:t>
            </w:r>
          </w:p>
        </w:tc>
        <w:tc>
          <w:tcPr>
            <w:tcW w:w="1303"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80</w:t>
            </w:r>
          </w:p>
        </w:tc>
        <w:tc>
          <w:tcPr>
            <w:tcW w:w="3091" w:type="dxa"/>
            <w:vAlign w:val="center"/>
          </w:tcPr>
          <w:p w:rsidR="00411339" w:rsidRDefault="00411339" w:rsidP="00F51743">
            <w:pPr>
              <w:snapToGrid w:val="0"/>
              <w:ind w:firstLineChars="2" w:firstLine="5"/>
              <w:jc w:val="center"/>
              <w:rPr>
                <w:rFonts w:ascii="仿宋" w:eastAsia="仿宋" w:hAnsi="仿宋" w:hint="eastAsia"/>
                <w:sz w:val="24"/>
                <w:szCs w:val="21"/>
              </w:rPr>
            </w:pPr>
            <w:r>
              <w:rPr>
                <w:rFonts w:ascii="仿宋" w:eastAsia="仿宋" w:hAnsi="仿宋" w:hint="eastAsia"/>
                <w:sz w:val="24"/>
                <w:szCs w:val="21"/>
              </w:rPr>
              <w:t>市场营销</w:t>
            </w:r>
          </w:p>
        </w:tc>
        <w:tc>
          <w:tcPr>
            <w:tcW w:w="1439"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92</w:t>
            </w:r>
          </w:p>
        </w:tc>
      </w:tr>
      <w:tr w:rsidR="00411339" w:rsidTr="00F51743">
        <w:trPr>
          <w:cantSplit/>
          <w:trHeight w:val="492"/>
        </w:trPr>
        <w:tc>
          <w:tcPr>
            <w:tcW w:w="3227"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财务管理</w:t>
            </w:r>
          </w:p>
        </w:tc>
        <w:tc>
          <w:tcPr>
            <w:tcW w:w="1303"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80</w:t>
            </w:r>
          </w:p>
        </w:tc>
        <w:tc>
          <w:tcPr>
            <w:tcW w:w="3091" w:type="dxa"/>
            <w:vAlign w:val="center"/>
          </w:tcPr>
          <w:p w:rsidR="00411339" w:rsidRDefault="00411339" w:rsidP="00F51743">
            <w:pPr>
              <w:snapToGrid w:val="0"/>
              <w:ind w:firstLineChars="2" w:firstLine="5"/>
              <w:jc w:val="center"/>
              <w:rPr>
                <w:rFonts w:ascii="仿宋" w:eastAsia="仿宋" w:hAnsi="仿宋" w:hint="eastAsia"/>
                <w:sz w:val="24"/>
                <w:szCs w:val="21"/>
              </w:rPr>
            </w:pPr>
            <w:r>
              <w:rPr>
                <w:rFonts w:ascii="仿宋" w:eastAsia="仿宋" w:hAnsi="仿宋" w:hint="eastAsia"/>
                <w:sz w:val="24"/>
                <w:szCs w:val="21"/>
              </w:rPr>
              <w:t>人力资源管理</w:t>
            </w:r>
          </w:p>
        </w:tc>
        <w:tc>
          <w:tcPr>
            <w:tcW w:w="1439"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93</w:t>
            </w:r>
          </w:p>
        </w:tc>
      </w:tr>
      <w:tr w:rsidR="00411339" w:rsidTr="00F51743">
        <w:trPr>
          <w:cantSplit/>
          <w:trHeight w:val="492"/>
        </w:trPr>
        <w:tc>
          <w:tcPr>
            <w:tcW w:w="3227"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会计学（注册会计师方向）</w:t>
            </w:r>
          </w:p>
        </w:tc>
        <w:tc>
          <w:tcPr>
            <w:tcW w:w="1303"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80</w:t>
            </w:r>
          </w:p>
        </w:tc>
        <w:tc>
          <w:tcPr>
            <w:tcW w:w="3091" w:type="dxa"/>
            <w:vAlign w:val="center"/>
          </w:tcPr>
          <w:p w:rsidR="00411339" w:rsidRDefault="00411339" w:rsidP="00F51743">
            <w:pPr>
              <w:snapToGrid w:val="0"/>
              <w:ind w:firstLineChars="2" w:firstLine="5"/>
              <w:jc w:val="center"/>
              <w:rPr>
                <w:rFonts w:ascii="仿宋" w:eastAsia="仿宋" w:hAnsi="仿宋" w:hint="eastAsia"/>
                <w:sz w:val="24"/>
                <w:szCs w:val="21"/>
              </w:rPr>
            </w:pPr>
          </w:p>
        </w:tc>
        <w:tc>
          <w:tcPr>
            <w:tcW w:w="1439" w:type="dxa"/>
            <w:vAlign w:val="center"/>
          </w:tcPr>
          <w:p w:rsidR="00411339" w:rsidRDefault="00411339" w:rsidP="00F51743">
            <w:pPr>
              <w:snapToGrid w:val="0"/>
              <w:ind w:firstLineChars="200" w:firstLine="480"/>
              <w:jc w:val="center"/>
              <w:rPr>
                <w:rFonts w:ascii="仿宋" w:eastAsia="仿宋" w:hAnsi="仿宋" w:hint="eastAsia"/>
                <w:sz w:val="24"/>
                <w:szCs w:val="21"/>
              </w:rPr>
            </w:pPr>
          </w:p>
        </w:tc>
      </w:tr>
      <w:tr w:rsidR="00411339" w:rsidTr="00F51743">
        <w:trPr>
          <w:cantSplit/>
          <w:trHeight w:val="492"/>
        </w:trPr>
        <w:tc>
          <w:tcPr>
            <w:tcW w:w="3227"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合计</w:t>
            </w:r>
          </w:p>
        </w:tc>
        <w:tc>
          <w:tcPr>
            <w:tcW w:w="1303"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322</w:t>
            </w:r>
          </w:p>
        </w:tc>
        <w:tc>
          <w:tcPr>
            <w:tcW w:w="3091" w:type="dxa"/>
            <w:vAlign w:val="center"/>
          </w:tcPr>
          <w:p w:rsidR="00411339" w:rsidRDefault="00411339" w:rsidP="00F51743">
            <w:pPr>
              <w:snapToGrid w:val="0"/>
              <w:ind w:firstLineChars="2" w:firstLine="5"/>
              <w:jc w:val="center"/>
              <w:rPr>
                <w:rFonts w:ascii="仿宋" w:eastAsia="仿宋" w:hAnsi="仿宋" w:hint="eastAsia"/>
                <w:sz w:val="24"/>
                <w:szCs w:val="21"/>
              </w:rPr>
            </w:pPr>
            <w:r>
              <w:rPr>
                <w:rFonts w:ascii="仿宋" w:eastAsia="仿宋" w:hAnsi="仿宋" w:hint="eastAsia"/>
                <w:sz w:val="24"/>
                <w:szCs w:val="21"/>
              </w:rPr>
              <w:t>合计</w:t>
            </w:r>
          </w:p>
        </w:tc>
        <w:tc>
          <w:tcPr>
            <w:tcW w:w="1439" w:type="dxa"/>
            <w:vAlign w:val="center"/>
          </w:tcPr>
          <w:p w:rsidR="00411339" w:rsidRDefault="00411339" w:rsidP="00F51743">
            <w:pPr>
              <w:snapToGrid w:val="0"/>
              <w:jc w:val="center"/>
              <w:rPr>
                <w:rFonts w:ascii="仿宋" w:eastAsia="仿宋" w:hAnsi="仿宋" w:hint="eastAsia"/>
                <w:sz w:val="24"/>
                <w:szCs w:val="21"/>
              </w:rPr>
            </w:pPr>
            <w:r>
              <w:rPr>
                <w:rFonts w:ascii="仿宋" w:eastAsia="仿宋" w:hAnsi="仿宋" w:hint="eastAsia"/>
                <w:sz w:val="24"/>
                <w:szCs w:val="21"/>
              </w:rPr>
              <w:t>278</w:t>
            </w:r>
          </w:p>
        </w:tc>
      </w:tr>
    </w:tbl>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各专业可根据学生选报情况最高上下浮动 20%的名额。</w:t>
      </w:r>
    </w:p>
    <w:p w:rsidR="00411339" w:rsidRDefault="00411339" w:rsidP="00411339">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六、实施程序</w:t>
      </w:r>
    </w:p>
    <w:p w:rsidR="00411339" w:rsidRDefault="00411339" w:rsidP="00411339">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（一）宣传教育</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在专业分流前，各专业负责人可通过专业分流动员会、学科介绍会、政策宣讲会等多种形式向学生进行专业介绍并接受学生的咨询，使学生全面了解专业特色、师资力量、教学条件、教学计划与课程设置等情况，引导学生正确选择专业。</w:t>
      </w:r>
    </w:p>
    <w:p w:rsidR="00411339" w:rsidRDefault="00411339" w:rsidP="00411339">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（二）学生志愿填报</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学生于4月7日前向蓝天书院提交商学院大类招生专业分流个人填报志愿表，工商管理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w:t>
      </w:r>
      <w:r>
        <w:rPr>
          <w:rFonts w:ascii="仿宋_GB2312" w:eastAsia="仿宋_GB2312" w:hAnsi="宋体" w:hint="eastAsia"/>
          <w:sz w:val="32"/>
          <w:szCs w:val="32"/>
        </w:rPr>
        <w:fldChar w:fldCharType="end"/>
      </w:r>
      <w:r>
        <w:rPr>
          <w:rFonts w:ascii="仿宋_GB2312" w:eastAsia="仿宋_GB2312" w:hAnsi="宋体" w:hint="eastAsia"/>
          <w:sz w:val="32"/>
          <w:szCs w:val="32"/>
        </w:rPr>
        <w:t>类每人需填报 4 个不同的专业志愿，工商管理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II</w:t>
      </w:r>
      <w:r>
        <w:rPr>
          <w:rFonts w:ascii="仿宋_GB2312" w:eastAsia="仿宋_GB2312" w:hAnsi="宋体" w:hint="eastAsia"/>
          <w:sz w:val="32"/>
          <w:szCs w:val="32"/>
        </w:rPr>
        <w:fldChar w:fldCharType="end"/>
      </w:r>
      <w:r>
        <w:rPr>
          <w:rFonts w:ascii="仿宋_GB2312" w:eastAsia="仿宋_GB2312" w:hAnsi="宋体" w:hint="eastAsia"/>
          <w:sz w:val="32"/>
          <w:szCs w:val="32"/>
        </w:rPr>
        <w:t>类每人需填报 3 个不同的专业志愿。工商管理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w:t>
      </w:r>
      <w:r>
        <w:rPr>
          <w:rFonts w:ascii="仿宋_GB2312" w:eastAsia="仿宋_GB2312" w:hAnsi="宋体" w:hint="eastAsia"/>
          <w:sz w:val="32"/>
          <w:szCs w:val="32"/>
        </w:rPr>
        <w:fldChar w:fldCharType="end"/>
      </w:r>
      <w:r>
        <w:rPr>
          <w:rFonts w:ascii="仿宋_GB2312" w:eastAsia="仿宋_GB2312" w:hAnsi="宋体" w:hint="eastAsia"/>
          <w:sz w:val="32"/>
          <w:szCs w:val="32"/>
        </w:rPr>
        <w:t>类学生未填满4个专业志愿，工商管理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ROMAN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II</w:t>
      </w:r>
      <w:r>
        <w:rPr>
          <w:rFonts w:ascii="仿宋_GB2312" w:eastAsia="仿宋_GB2312" w:hAnsi="宋体" w:hint="eastAsia"/>
          <w:sz w:val="32"/>
          <w:szCs w:val="32"/>
        </w:rPr>
        <w:fldChar w:fldCharType="end"/>
      </w:r>
      <w:r>
        <w:rPr>
          <w:rFonts w:ascii="仿宋_GB2312" w:eastAsia="仿宋_GB2312" w:hAnsi="宋体" w:hint="eastAsia"/>
          <w:sz w:val="32"/>
          <w:szCs w:val="32"/>
        </w:rPr>
        <w:t>类未填满3个专业志愿，或者所填志愿重复的，均视为无效志愿。学生在规定时间内未填报专业分流志愿或未按要求规范填报志愿的，学院将该学生随机调配至分流计划未满的专业。</w:t>
      </w:r>
    </w:p>
    <w:p w:rsidR="00411339" w:rsidRDefault="00411339" w:rsidP="00411339">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（三）专业确定</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专业分流按照“分数优先、遵循志愿”的原则，按照综合成绩由高分到低分排序。遵循学生填报的第一、第二、第三...等多个不同专业志愿，根据各专业计划人数录取。未能进入本人第一志愿的学生，依据后续的第二志愿，在原报的第一志愿的同学后进行排序录取；若第二志愿也不能满足，则按三志愿在其他同学的一、二志愿后进行排序录取，依此类推。</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2.学生专业分流的综合成绩为学生第一学期课程的平均成绩和综合素质测评成绩的加权平均数。其中，第一学期</w:t>
      </w:r>
      <w:r>
        <w:rPr>
          <w:rFonts w:ascii="仿宋_GB2312" w:eastAsia="仿宋_GB2312" w:hAnsi="宋体" w:hint="eastAsia"/>
          <w:sz w:val="32"/>
          <w:szCs w:val="32"/>
        </w:rPr>
        <w:lastRenderedPageBreak/>
        <w:t>不及格的课程按第一次的原始成绩统计（不参考补考成绩），若申请缓考获批的课程成绩可按缓考成绩统计。具体计算如下：</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综合成绩=A1*50% + A2*30% + A3*20%</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A1：《高等数学Ⅰ(一)》和《大学英语Ⅰ(一)》的平均分</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A2：第一学期其他课程的平均分</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A3：综合素质测评成绩</w:t>
      </w:r>
    </w:p>
    <w:p w:rsidR="00411339" w:rsidRDefault="00411339" w:rsidP="00411339">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（四）公示结果</w:t>
      </w:r>
    </w:p>
    <w:p w:rsidR="00411339" w:rsidRDefault="00411339" w:rsidP="004113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学院依据分流方案，对分流的结果面向全院学生进行公示，公示期5天。</w:t>
      </w:r>
    </w:p>
    <w:p w:rsidR="00411339" w:rsidRDefault="00411339" w:rsidP="00411339">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七、本方案仅针对2018级工商管理</w:t>
      </w:r>
      <w:r>
        <w:rPr>
          <w:rFonts w:ascii="黑体" w:eastAsia="黑体" w:hAnsi="黑体" w:hint="eastAsia"/>
          <w:sz w:val="32"/>
          <w:szCs w:val="32"/>
        </w:rPr>
        <w:fldChar w:fldCharType="begin"/>
      </w:r>
      <w:r>
        <w:rPr>
          <w:rFonts w:ascii="黑体" w:eastAsia="黑体" w:hAnsi="黑体" w:hint="eastAsia"/>
          <w:sz w:val="32"/>
          <w:szCs w:val="32"/>
        </w:rPr>
        <w:instrText xml:space="preserve"> = 1 \* ROMAN </w:instrText>
      </w:r>
      <w:r>
        <w:rPr>
          <w:rFonts w:ascii="黑体" w:eastAsia="黑体" w:hAnsi="黑体" w:hint="eastAsia"/>
          <w:sz w:val="32"/>
          <w:szCs w:val="32"/>
        </w:rPr>
        <w:fldChar w:fldCharType="separate"/>
      </w:r>
      <w:r>
        <w:rPr>
          <w:rFonts w:ascii="黑体" w:eastAsia="黑体" w:hAnsi="黑体" w:hint="eastAsia"/>
          <w:sz w:val="32"/>
          <w:szCs w:val="32"/>
        </w:rPr>
        <w:t>I</w:t>
      </w:r>
      <w:r>
        <w:rPr>
          <w:rFonts w:ascii="黑体" w:eastAsia="黑体" w:hAnsi="黑体" w:hint="eastAsia"/>
          <w:sz w:val="32"/>
          <w:szCs w:val="32"/>
        </w:rPr>
        <w:fldChar w:fldCharType="end"/>
      </w:r>
      <w:r>
        <w:rPr>
          <w:rFonts w:ascii="黑体" w:eastAsia="黑体" w:hAnsi="黑体" w:hint="eastAsia"/>
          <w:sz w:val="32"/>
          <w:szCs w:val="32"/>
        </w:rPr>
        <w:t>类和工商管理</w:t>
      </w:r>
      <w:r>
        <w:rPr>
          <w:rFonts w:ascii="黑体" w:eastAsia="黑体" w:hAnsi="黑体" w:hint="eastAsia"/>
          <w:sz w:val="32"/>
          <w:szCs w:val="32"/>
        </w:rPr>
        <w:fldChar w:fldCharType="begin"/>
      </w:r>
      <w:r>
        <w:rPr>
          <w:rFonts w:ascii="黑体" w:eastAsia="黑体" w:hAnsi="黑体" w:hint="eastAsia"/>
          <w:sz w:val="32"/>
          <w:szCs w:val="32"/>
        </w:rPr>
        <w:instrText xml:space="preserve"> = 2 \* ROMAN </w:instrText>
      </w:r>
      <w:r>
        <w:rPr>
          <w:rFonts w:ascii="黑体" w:eastAsia="黑体" w:hAnsi="黑体" w:hint="eastAsia"/>
          <w:sz w:val="32"/>
          <w:szCs w:val="32"/>
        </w:rPr>
        <w:fldChar w:fldCharType="separate"/>
      </w:r>
      <w:r>
        <w:rPr>
          <w:rFonts w:ascii="黑体" w:eastAsia="黑体" w:hAnsi="黑体" w:hint="eastAsia"/>
          <w:sz w:val="32"/>
          <w:szCs w:val="32"/>
        </w:rPr>
        <w:t>II</w:t>
      </w:r>
      <w:r>
        <w:rPr>
          <w:rFonts w:ascii="黑体" w:eastAsia="黑体" w:hAnsi="黑体" w:hint="eastAsia"/>
          <w:sz w:val="32"/>
          <w:szCs w:val="32"/>
        </w:rPr>
        <w:fldChar w:fldCharType="end"/>
      </w:r>
      <w:r>
        <w:rPr>
          <w:rFonts w:ascii="黑体" w:eastAsia="黑体" w:hAnsi="黑体" w:hint="eastAsia"/>
          <w:sz w:val="32"/>
          <w:szCs w:val="32"/>
        </w:rPr>
        <w:t>类的学生。</w:t>
      </w:r>
    </w:p>
    <w:p w:rsidR="00411339" w:rsidRDefault="00411339" w:rsidP="00411339">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八、本方案由商学院大类专业分流领导小组负责解释。</w:t>
      </w:r>
    </w:p>
    <w:p w:rsidR="00165C92" w:rsidRDefault="00165C92">
      <w:pPr>
        <w:rPr>
          <w:rFonts w:hint="eastAsia"/>
        </w:rPr>
      </w:pPr>
    </w:p>
    <w:p w:rsidR="00411339" w:rsidRDefault="00411339">
      <w:pPr>
        <w:rPr>
          <w:rFonts w:hint="eastAsia"/>
        </w:rPr>
      </w:pPr>
    </w:p>
    <w:p w:rsidR="00411339" w:rsidRDefault="00411339">
      <w:pPr>
        <w:rPr>
          <w:rFonts w:hint="eastAsia"/>
        </w:rPr>
      </w:pPr>
    </w:p>
    <w:p w:rsidR="00411339" w:rsidRDefault="00411339">
      <w:pPr>
        <w:rPr>
          <w:rFonts w:hint="eastAsia"/>
        </w:rPr>
      </w:pPr>
    </w:p>
    <w:p w:rsidR="00411339" w:rsidRDefault="00411339">
      <w:pPr>
        <w:rPr>
          <w:rFonts w:hint="eastAsia"/>
        </w:rPr>
      </w:pPr>
    </w:p>
    <w:p w:rsidR="00411339" w:rsidRDefault="00411339">
      <w:pPr>
        <w:rPr>
          <w:rFonts w:hint="eastAsia"/>
        </w:rPr>
      </w:pPr>
    </w:p>
    <w:p w:rsidR="00411339" w:rsidRDefault="00411339">
      <w:pPr>
        <w:rPr>
          <w:rFonts w:hint="eastAsia"/>
        </w:rPr>
      </w:pPr>
    </w:p>
    <w:p w:rsidR="00411339" w:rsidRDefault="00411339">
      <w:pPr>
        <w:rPr>
          <w:rFonts w:hint="eastAsia"/>
        </w:rPr>
      </w:pPr>
    </w:p>
    <w:p w:rsidR="00411339" w:rsidRPr="00411339" w:rsidRDefault="00411339" w:rsidP="00411339">
      <w:pPr>
        <w:ind w:firstLineChars="1950" w:firstLine="6240"/>
        <w:rPr>
          <w:rFonts w:ascii="仿宋_GB2312" w:eastAsia="仿宋_GB2312" w:hint="eastAsia"/>
          <w:sz w:val="32"/>
          <w:szCs w:val="32"/>
        </w:rPr>
      </w:pPr>
      <w:r w:rsidRPr="00411339">
        <w:rPr>
          <w:rFonts w:ascii="仿宋_GB2312" w:eastAsia="仿宋_GB2312" w:hint="eastAsia"/>
          <w:sz w:val="32"/>
          <w:szCs w:val="32"/>
        </w:rPr>
        <w:t>商学院</w:t>
      </w:r>
    </w:p>
    <w:p w:rsidR="00411339" w:rsidRPr="00411339" w:rsidRDefault="00411339" w:rsidP="00411339">
      <w:pPr>
        <w:ind w:firstLineChars="1750" w:firstLine="5600"/>
        <w:rPr>
          <w:rFonts w:ascii="仿宋_GB2312" w:eastAsia="仿宋_GB2312" w:hint="eastAsia"/>
          <w:sz w:val="32"/>
          <w:szCs w:val="32"/>
        </w:rPr>
      </w:pPr>
      <w:r w:rsidRPr="00411339">
        <w:rPr>
          <w:rFonts w:ascii="仿宋_GB2312" w:eastAsia="仿宋_GB2312" w:hint="eastAsia"/>
          <w:sz w:val="32"/>
          <w:szCs w:val="32"/>
        </w:rPr>
        <w:t>2019年3月28日</w:t>
      </w:r>
    </w:p>
    <w:sectPr w:rsidR="00411339" w:rsidRPr="00411339" w:rsidSect="00165C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1339"/>
    <w:rsid w:val="00165C92"/>
    <w:rsid w:val="00411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010179王子夏</dc:creator>
  <cp:lastModifiedBy>010179王子夏</cp:lastModifiedBy>
  <cp:revision>1</cp:revision>
  <dcterms:created xsi:type="dcterms:W3CDTF">2019-03-29T07:34:00Z</dcterms:created>
  <dcterms:modified xsi:type="dcterms:W3CDTF">2019-03-29T07:36:00Z</dcterms:modified>
</cp:coreProperties>
</file>